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924">
      <w:pPr>
        <w:pStyle w:val="7"/>
        <w:shd w:val="clear" w:fill="FFFFFF" w:themeFill="background1"/>
        <w:ind w:firstLine="320" w:firstLineChars="100"/>
        <w:jc w:val="center"/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报价单</w:t>
      </w:r>
    </w:p>
    <w:p w14:paraId="48C347A0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</w:rPr>
      </w:pPr>
    </w:p>
    <w:p w14:paraId="327430B5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项目</w:t>
      </w:r>
      <w:r>
        <w:rPr>
          <w:rFonts w:hAnsi="宋体"/>
          <w:color w:val="auto"/>
          <w:sz w:val="24"/>
          <w:szCs w:val="24"/>
          <w:highlight w:val="none"/>
        </w:rPr>
        <w:t>名称：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淼控生物环保（佛山三水）有限公司经济责任审计辅助服务及增资扩股瀚蓝（佛山三水）生物环保技术有限公司投后评价服务</w:t>
      </w:r>
    </w:p>
    <w:p w14:paraId="5D34CE62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</w:p>
    <w:tbl>
      <w:tblPr>
        <w:tblStyle w:val="10"/>
        <w:tblW w:w="8492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42"/>
        <w:gridCol w:w="2067"/>
        <w:gridCol w:w="3017"/>
        <w:gridCol w:w="1250"/>
        <w:gridCol w:w="1216"/>
        <w:tblGridChange w:id="0">
          <w:tblGrid>
            <w:gridCol w:w="942"/>
            <w:gridCol w:w="2067"/>
            <w:gridCol w:w="3017"/>
            <w:gridCol w:w="1250"/>
            <w:gridCol w:w="1216"/>
          </w:tblGrid>
        </w:tblGridChange>
      </w:tblGrid>
      <w:tr w14:paraId="14E2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</w:trPr>
        <w:tc>
          <w:tcPr>
            <w:tcW w:w="942" w:type="dxa"/>
            <w:noWrap w:val="0"/>
            <w:vAlign w:val="center"/>
          </w:tcPr>
          <w:p w14:paraId="42602F76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067" w:type="dxa"/>
            <w:noWrap w:val="0"/>
            <w:vAlign w:val="center"/>
          </w:tcPr>
          <w:p w14:paraId="6E8E2BCB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3017" w:type="dxa"/>
            <w:noWrap w:val="0"/>
            <w:vAlign w:val="center"/>
          </w:tcPr>
          <w:p w14:paraId="62B974F5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报价金额（含税）（元）</w:t>
            </w:r>
          </w:p>
        </w:tc>
        <w:tc>
          <w:tcPr>
            <w:tcW w:w="1250" w:type="dxa"/>
            <w:noWrap w:val="0"/>
            <w:vAlign w:val="center"/>
          </w:tcPr>
          <w:p w14:paraId="3A15396B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1216" w:type="dxa"/>
            <w:noWrap w:val="0"/>
            <w:vAlign w:val="center"/>
          </w:tcPr>
          <w:p w14:paraId="6891242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4A2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2" w:hRule="atLeast"/>
        </w:trPr>
        <w:tc>
          <w:tcPr>
            <w:tcW w:w="942" w:type="dxa"/>
            <w:noWrap w:val="0"/>
            <w:vAlign w:val="center"/>
          </w:tcPr>
          <w:p w14:paraId="5DB40FAF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67" w:type="dxa"/>
            <w:noWrap w:val="0"/>
            <w:vAlign w:val="center"/>
          </w:tcPr>
          <w:p w14:paraId="7154EB24">
            <w:pPr>
              <w:shd w:val="clear" w:fill="FFFFFF" w:themeFill="background1"/>
              <w:spacing w:line="480" w:lineRule="exact"/>
              <w:jc w:val="center"/>
              <w:rPr>
                <w:rFonts w:hint="eastAsia" w:ascii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淼控生物环保（佛山三水）有限公司经济责任审计辅助服务</w:t>
            </w:r>
          </w:p>
        </w:tc>
        <w:tc>
          <w:tcPr>
            <w:tcW w:w="3017" w:type="dxa"/>
            <w:noWrap w:val="0"/>
            <w:vAlign w:val="center"/>
          </w:tcPr>
          <w:p w14:paraId="569C7D90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FDEFEC4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cs="宋体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  <w:p w14:paraId="444C346B"/>
        </w:tc>
        <w:tc>
          <w:tcPr>
            <w:tcW w:w="1216" w:type="dxa"/>
            <w:noWrap w:val="0"/>
            <w:vAlign w:val="center"/>
          </w:tcPr>
          <w:p w14:paraId="28F1BA61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A0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2" w:hRule="atLeast"/>
        </w:trPr>
        <w:tc>
          <w:tcPr>
            <w:tcW w:w="942" w:type="dxa"/>
            <w:noWrap w:val="0"/>
            <w:vAlign w:val="center"/>
          </w:tcPr>
          <w:p w14:paraId="369B437C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67" w:type="dxa"/>
            <w:noWrap w:val="0"/>
            <w:vAlign w:val="center"/>
          </w:tcPr>
          <w:p w14:paraId="4319D014">
            <w:pPr>
              <w:shd w:val="clear" w:fill="FFFFFF" w:themeFill="background1"/>
              <w:spacing w:line="480" w:lineRule="exact"/>
              <w:jc w:val="center"/>
              <w:rPr>
                <w:rFonts w:hint="eastAsia" w:ascii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增资扩股瀚蓝（佛山三水）生物环保技术有限公司投后评价服务</w:t>
            </w:r>
          </w:p>
        </w:tc>
        <w:tc>
          <w:tcPr>
            <w:tcW w:w="3017" w:type="dxa"/>
            <w:shd w:val="clear"/>
            <w:noWrap w:val="0"/>
            <w:vAlign w:val="center"/>
          </w:tcPr>
          <w:p w14:paraId="10692C2C">
            <w:pPr>
              <w:shd w:val="clear" w:fill="FFFFFF" w:themeFill="background1"/>
              <w:spacing w:line="480" w:lineRule="exact"/>
              <w:jc w:val="left"/>
              <w:rPr>
                <w:rFonts w:hint="eastAsia" w:ascii="Calibri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shd w:val="clear"/>
            <w:noWrap w:val="0"/>
            <w:vAlign w:val="center"/>
          </w:tcPr>
          <w:p w14:paraId="23D33B1B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cs="宋体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  <w:p w14:paraId="1CE35719"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43A29B2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5C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9" w:hRule="atLeast"/>
        </w:trPr>
        <w:tc>
          <w:tcPr>
            <w:tcW w:w="3009" w:type="dxa"/>
            <w:gridSpan w:val="2"/>
            <w:noWrap w:val="0"/>
            <w:vAlign w:val="center"/>
          </w:tcPr>
          <w:p w14:paraId="28723502">
            <w:pPr>
              <w:shd w:val="clear" w:fill="FFFFFF" w:themeFill="background1"/>
              <w:spacing w:line="480" w:lineRule="exact"/>
              <w:jc w:val="center"/>
              <w:rPr>
                <w:rFonts w:hint="eastAsia" w:ascii="宋体" w:eastAsia="宋体" w:cs="宋体"/>
                <w:b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b/>
                <w:bCs/>
                <w:color w:val="auto"/>
                <w:highlight w:val="none"/>
                <w:lang w:val="en-US" w:eastAsia="zh-CN" w:bidi="ar"/>
              </w:rPr>
              <w:t>合计</w:t>
            </w:r>
            <w:r>
              <w:rPr>
                <w:rFonts w:hint="eastAsia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（1+2）</w:t>
            </w:r>
          </w:p>
        </w:tc>
        <w:tc>
          <w:tcPr>
            <w:tcW w:w="3017" w:type="dxa"/>
            <w:shd w:val="clear" w:color="auto" w:fill="auto"/>
            <w:noWrap w:val="0"/>
            <w:vAlign w:val="center"/>
          </w:tcPr>
          <w:p w14:paraId="3A7B2043">
            <w:pPr>
              <w:shd w:val="clear" w:fill="FFFFFF" w:themeFill="background1"/>
              <w:spacing w:line="480" w:lineRule="exact"/>
              <w:jc w:val="left"/>
              <w:rPr>
                <w:rFonts w:hint="eastAsia" w:ascii="Calibri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4C1A7C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cs="宋体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  <w:p w14:paraId="5AB4AA18"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13297ED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3854684">
      <w:pPr>
        <w:pStyle w:val="7"/>
        <w:shd w:val="clear" w:fill="FFFFFF" w:themeFill="background1"/>
        <w:ind w:firstLine="210" w:firstLineChars="1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                                   </w:t>
      </w:r>
    </w:p>
    <w:p w14:paraId="68A648D8">
      <w:pPr>
        <w:numPr>
          <w:ilvl w:val="-1"/>
          <w:numId w:val="0"/>
        </w:numPr>
        <w:ind w:firstLine="480" w:firstLineChars="200"/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注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1.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合同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总价为包干总价，包括但不限于合同项下的相关税费、劳务费、资料费、人工成本（含社保公积金等）、企业远程及现场实施费、技术成果使用费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以及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本项目包含的所有风险、责任以及本项目实施过程中不可预见的一切费用等。合作期间，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不再支付任何其他费用。</w:t>
      </w:r>
    </w:p>
    <w:p w14:paraId="6FE8F87E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投标报价以元为单位，保留两位小数。</w:t>
      </w:r>
    </w:p>
    <w:p w14:paraId="271A55B2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如果以上内容无法满足投标单位对报价的描述，可自行添加包含在价格因素在内的一切内容。</w:t>
      </w:r>
    </w:p>
    <w:p w14:paraId="0BF4014C">
      <w:pPr>
        <w:numPr>
          <w:ilvl w:val="0"/>
          <w:numId w:val="1"/>
        </w:numPr>
        <w:ind w:firstLine="480" w:firstLineChars="200"/>
        <w:rPr>
          <w:rFonts w:hint="eastAsia" w:hAnsi="宋体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本项目</w:t>
      </w:r>
      <w:bookmarkStart w:id="0" w:name="_GoBack"/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由合计总报价最低者中标</w:t>
      </w:r>
      <w:bookmarkEnd w:id="0"/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。</w:t>
      </w:r>
    </w:p>
    <w:p w14:paraId="55AEED05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29607DF9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投标单位（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1FDAE3F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6F7A662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7A048D5F">
      <w:pPr>
        <w:pStyle w:val="2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p w14:paraId="13CD0771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20532D6"/>
    <w:rsid w:val="038606E3"/>
    <w:rsid w:val="038C6E7C"/>
    <w:rsid w:val="03B95300"/>
    <w:rsid w:val="047E1793"/>
    <w:rsid w:val="047F470E"/>
    <w:rsid w:val="04B33904"/>
    <w:rsid w:val="059A6453"/>
    <w:rsid w:val="05C5154A"/>
    <w:rsid w:val="08052DE6"/>
    <w:rsid w:val="080A2903"/>
    <w:rsid w:val="08B25578"/>
    <w:rsid w:val="0B2341D2"/>
    <w:rsid w:val="0B9C74B8"/>
    <w:rsid w:val="0C602DB0"/>
    <w:rsid w:val="0D0060E5"/>
    <w:rsid w:val="0E5E3E70"/>
    <w:rsid w:val="0E8E589D"/>
    <w:rsid w:val="0EE97B6F"/>
    <w:rsid w:val="0EFF64D1"/>
    <w:rsid w:val="0F847EDD"/>
    <w:rsid w:val="11155D3F"/>
    <w:rsid w:val="11797BA1"/>
    <w:rsid w:val="12502BA9"/>
    <w:rsid w:val="1255650F"/>
    <w:rsid w:val="12A34B9C"/>
    <w:rsid w:val="12E2190B"/>
    <w:rsid w:val="13124A20"/>
    <w:rsid w:val="13604DE4"/>
    <w:rsid w:val="14302F3B"/>
    <w:rsid w:val="14465D74"/>
    <w:rsid w:val="14DB5CE3"/>
    <w:rsid w:val="15E247C5"/>
    <w:rsid w:val="16221853"/>
    <w:rsid w:val="162B5273"/>
    <w:rsid w:val="165D65CA"/>
    <w:rsid w:val="166A3B99"/>
    <w:rsid w:val="175A11DB"/>
    <w:rsid w:val="176C4F9E"/>
    <w:rsid w:val="17800EAB"/>
    <w:rsid w:val="178B2844"/>
    <w:rsid w:val="17BE47F2"/>
    <w:rsid w:val="180E7D00"/>
    <w:rsid w:val="1828335D"/>
    <w:rsid w:val="182B620F"/>
    <w:rsid w:val="1845305F"/>
    <w:rsid w:val="199B59BE"/>
    <w:rsid w:val="1A245680"/>
    <w:rsid w:val="1A3E65CC"/>
    <w:rsid w:val="1A964BB9"/>
    <w:rsid w:val="1A9C1E82"/>
    <w:rsid w:val="1B681A16"/>
    <w:rsid w:val="1C124F3E"/>
    <w:rsid w:val="1C4C4D28"/>
    <w:rsid w:val="1C647DDB"/>
    <w:rsid w:val="1D0E719A"/>
    <w:rsid w:val="1D3B3397"/>
    <w:rsid w:val="1D635CFD"/>
    <w:rsid w:val="1EE65FBC"/>
    <w:rsid w:val="1F3E1138"/>
    <w:rsid w:val="219A16D8"/>
    <w:rsid w:val="21A140DF"/>
    <w:rsid w:val="21EB080F"/>
    <w:rsid w:val="22734472"/>
    <w:rsid w:val="22B152AD"/>
    <w:rsid w:val="2355768F"/>
    <w:rsid w:val="23AB06A8"/>
    <w:rsid w:val="244159AA"/>
    <w:rsid w:val="253E4F17"/>
    <w:rsid w:val="27AC2F76"/>
    <w:rsid w:val="28562B52"/>
    <w:rsid w:val="28BA26E7"/>
    <w:rsid w:val="2AD7312B"/>
    <w:rsid w:val="2AEA56B9"/>
    <w:rsid w:val="2B815468"/>
    <w:rsid w:val="2BD56557"/>
    <w:rsid w:val="2D26776F"/>
    <w:rsid w:val="2D774E41"/>
    <w:rsid w:val="2F8F2CB7"/>
    <w:rsid w:val="32D260F7"/>
    <w:rsid w:val="331F1D70"/>
    <w:rsid w:val="340057D7"/>
    <w:rsid w:val="343E3035"/>
    <w:rsid w:val="34910C84"/>
    <w:rsid w:val="34D348B8"/>
    <w:rsid w:val="35C23B2E"/>
    <w:rsid w:val="37012717"/>
    <w:rsid w:val="37363092"/>
    <w:rsid w:val="38331AD4"/>
    <w:rsid w:val="38C83500"/>
    <w:rsid w:val="390522AE"/>
    <w:rsid w:val="397E2132"/>
    <w:rsid w:val="39E31EE5"/>
    <w:rsid w:val="3AC136BC"/>
    <w:rsid w:val="3B6435E9"/>
    <w:rsid w:val="3B8D0D73"/>
    <w:rsid w:val="3E92592E"/>
    <w:rsid w:val="3E970291"/>
    <w:rsid w:val="3EA411A2"/>
    <w:rsid w:val="3EA550A7"/>
    <w:rsid w:val="3FBE2FB6"/>
    <w:rsid w:val="40BC06D8"/>
    <w:rsid w:val="416C0EA4"/>
    <w:rsid w:val="41E61194"/>
    <w:rsid w:val="41F811B5"/>
    <w:rsid w:val="42077C21"/>
    <w:rsid w:val="42731488"/>
    <w:rsid w:val="42D17A58"/>
    <w:rsid w:val="438F2754"/>
    <w:rsid w:val="45F93B17"/>
    <w:rsid w:val="46203AF7"/>
    <w:rsid w:val="46B03CC9"/>
    <w:rsid w:val="46F25D7C"/>
    <w:rsid w:val="46F774CE"/>
    <w:rsid w:val="47C76193"/>
    <w:rsid w:val="48A617F4"/>
    <w:rsid w:val="49523183"/>
    <w:rsid w:val="495661BF"/>
    <w:rsid w:val="49695077"/>
    <w:rsid w:val="49717BFA"/>
    <w:rsid w:val="499D180F"/>
    <w:rsid w:val="49DC72B9"/>
    <w:rsid w:val="4B775C0B"/>
    <w:rsid w:val="4D965BE8"/>
    <w:rsid w:val="4EAD5635"/>
    <w:rsid w:val="4F815096"/>
    <w:rsid w:val="4FAB550D"/>
    <w:rsid w:val="50D705DB"/>
    <w:rsid w:val="513574A2"/>
    <w:rsid w:val="515D4069"/>
    <w:rsid w:val="515E528B"/>
    <w:rsid w:val="519A065A"/>
    <w:rsid w:val="5268410A"/>
    <w:rsid w:val="533C65BF"/>
    <w:rsid w:val="56572F45"/>
    <w:rsid w:val="565D4577"/>
    <w:rsid w:val="57EF5B4F"/>
    <w:rsid w:val="580931B8"/>
    <w:rsid w:val="580C3CF9"/>
    <w:rsid w:val="5815508E"/>
    <w:rsid w:val="583D326A"/>
    <w:rsid w:val="588B2B5D"/>
    <w:rsid w:val="58CD3249"/>
    <w:rsid w:val="59262959"/>
    <w:rsid w:val="59451831"/>
    <w:rsid w:val="59972D02"/>
    <w:rsid w:val="59B901F2"/>
    <w:rsid w:val="59BA2A77"/>
    <w:rsid w:val="5A4C7F28"/>
    <w:rsid w:val="5A7F3DFC"/>
    <w:rsid w:val="5AA9356E"/>
    <w:rsid w:val="5AF30626"/>
    <w:rsid w:val="5CAB7E0D"/>
    <w:rsid w:val="5D0E48BE"/>
    <w:rsid w:val="5D6B59FB"/>
    <w:rsid w:val="5D890870"/>
    <w:rsid w:val="5E863DDA"/>
    <w:rsid w:val="5EB17BD4"/>
    <w:rsid w:val="5F6E3040"/>
    <w:rsid w:val="5F8E16DF"/>
    <w:rsid w:val="600A1141"/>
    <w:rsid w:val="603E09FB"/>
    <w:rsid w:val="60D8438F"/>
    <w:rsid w:val="61C85E36"/>
    <w:rsid w:val="621C36C4"/>
    <w:rsid w:val="632720F4"/>
    <w:rsid w:val="64025501"/>
    <w:rsid w:val="64426793"/>
    <w:rsid w:val="64585C38"/>
    <w:rsid w:val="645E38EF"/>
    <w:rsid w:val="649B6580"/>
    <w:rsid w:val="654E28A7"/>
    <w:rsid w:val="662A1F26"/>
    <w:rsid w:val="67484918"/>
    <w:rsid w:val="68E8562C"/>
    <w:rsid w:val="691C23DE"/>
    <w:rsid w:val="6A4A3BBF"/>
    <w:rsid w:val="6A5324EC"/>
    <w:rsid w:val="6AA20B1A"/>
    <w:rsid w:val="6AC340FA"/>
    <w:rsid w:val="6B6561F7"/>
    <w:rsid w:val="6B656486"/>
    <w:rsid w:val="6B955B91"/>
    <w:rsid w:val="6B992A05"/>
    <w:rsid w:val="6C9E35BD"/>
    <w:rsid w:val="6CAF78C1"/>
    <w:rsid w:val="6CDF4CE8"/>
    <w:rsid w:val="6D303210"/>
    <w:rsid w:val="6D930A8A"/>
    <w:rsid w:val="6D9504A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016718"/>
    <w:rsid w:val="726008B5"/>
    <w:rsid w:val="72B40081"/>
    <w:rsid w:val="733D76FF"/>
    <w:rsid w:val="738C441D"/>
    <w:rsid w:val="74B0683E"/>
    <w:rsid w:val="74FB6037"/>
    <w:rsid w:val="75022BDD"/>
    <w:rsid w:val="75656D50"/>
    <w:rsid w:val="76A4083A"/>
    <w:rsid w:val="772268FD"/>
    <w:rsid w:val="77DF044B"/>
    <w:rsid w:val="78271D9A"/>
    <w:rsid w:val="788624EC"/>
    <w:rsid w:val="7A232CF4"/>
    <w:rsid w:val="7B045D2D"/>
    <w:rsid w:val="7BF93C47"/>
    <w:rsid w:val="7C49086E"/>
    <w:rsid w:val="7CFA5391"/>
    <w:rsid w:val="7D3C16AE"/>
    <w:rsid w:val="7D7701B6"/>
    <w:rsid w:val="7D7A3276"/>
    <w:rsid w:val="7D814A4B"/>
    <w:rsid w:val="7E8104AE"/>
    <w:rsid w:val="7E95008B"/>
    <w:rsid w:val="7EA73659"/>
    <w:rsid w:val="7F1A36DC"/>
    <w:rsid w:val="7F321818"/>
    <w:rsid w:val="7F7B5CFB"/>
    <w:rsid w:val="7FCE7091"/>
    <w:rsid w:val="7F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ody Text Indent 2"/>
    <w:basedOn w:val="1"/>
    <w:next w:val="5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3"/>
    <w:next w:val="1"/>
    <w:qFormat/>
    <w:uiPriority w:val="0"/>
    <w:pPr>
      <w:ind w:firstLine="680"/>
    </w:pPr>
    <w:rPr>
      <w:kern w:val="44"/>
    </w:rPr>
  </w:style>
  <w:style w:type="paragraph" w:styleId="9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 w:firstLine="21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kern w:val="0"/>
      <w:sz w:val="24"/>
      <w:szCs w:val="24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9">
    <w:name w:val=" Char"/>
    <w:basedOn w:val="1"/>
    <w:next w:val="1"/>
    <w:qFormat/>
    <w:uiPriority w:val="0"/>
    <w:pPr>
      <w:tabs>
        <w:tab w:val="left" w:pos="720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281</Characters>
  <Lines>5</Lines>
  <Paragraphs>1</Paragraphs>
  <TotalTime>3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龙敏</cp:lastModifiedBy>
  <cp:lastPrinted>2025-06-17T09:20:00Z</cp:lastPrinted>
  <dcterms:modified xsi:type="dcterms:W3CDTF">2026-05-20T08:29:18Z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ACF54E5A3EDA43E0A0843827E04BA609_13</vt:lpwstr>
  </property>
  <property fmtid="{D5CDD505-2E9C-101B-9397-08002B2CF9AE}" pid="4" name="KSOTemplateDocerSaveRecord">
    <vt:lpwstr>eyJoZGlkIjoiZjdiMjZjOTFkZTFhYmQxNWNiNWM1ZmM1ODg4NmVhNTIiLCJ1c2VySWQiOiIxMTA2MzQxODAxIn0=</vt:lpwstr>
  </property>
</Properties>
</file>